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274DEC81" w:rsidR="00A160B2" w:rsidRDefault="002A5BDC" w:rsidP="006C3150">
            <w:pPr>
              <w:pStyle w:val="Infotext"/>
              <w:rPr>
                <w:rFonts w:cs="Arial"/>
              </w:rPr>
            </w:pPr>
            <w:r>
              <w:rPr>
                <w:rFonts w:cs="Arial"/>
              </w:rPr>
              <w:t>6 October</w:t>
            </w:r>
            <w:r w:rsidR="00CE4DD2">
              <w:rPr>
                <w:rFonts w:cs="Arial"/>
              </w:rPr>
              <w:t xml:space="preserve"> 202</w:t>
            </w:r>
            <w:r w:rsidR="007B524B">
              <w:rPr>
                <w:rFonts w:cs="Arial"/>
              </w:rPr>
              <w:t>1</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7839A4DD" w14:textId="77777777" w:rsidR="00A160B2" w:rsidRDefault="0075166A" w:rsidP="00CE4DD2">
            <w:pPr>
              <w:pStyle w:val="Infotext"/>
              <w:rPr>
                <w:rFonts w:cs="Arial"/>
              </w:rPr>
            </w:pPr>
            <w:r>
              <w:rPr>
                <w:rFonts w:cs="Arial"/>
              </w:rPr>
              <w:t>Review of Pension Fund Committee Items</w:t>
            </w:r>
          </w:p>
          <w:p w14:paraId="5914456E" w14:textId="54CA8413" w:rsidR="00346865" w:rsidRDefault="00346865" w:rsidP="00CE4DD2">
            <w:pPr>
              <w:pStyle w:val="Infotext"/>
              <w:rPr>
                <w:rFonts w:cs="Arial"/>
              </w:rPr>
            </w:pP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3CF266C9" w14:textId="2B974E43" w:rsidR="00A160B2" w:rsidRDefault="00CE4DD2" w:rsidP="00CE4DD2">
            <w:pPr>
              <w:pStyle w:val="Infotext"/>
              <w:rPr>
                <w:rFonts w:cs="Arial"/>
              </w:rPr>
            </w:pPr>
            <w:r>
              <w:rPr>
                <w:rFonts w:cs="Arial"/>
              </w:rPr>
              <w:t>Dawn Calvert – Director of Finance and Assurance</w:t>
            </w: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24B98948" w:rsidR="00A160B2" w:rsidRPr="00346865" w:rsidRDefault="004B5D7B" w:rsidP="006C3150">
            <w:pPr>
              <w:pStyle w:val="Infotext"/>
              <w:rPr>
                <w:bCs/>
              </w:rPr>
            </w:pPr>
            <w:r w:rsidRPr="00346865">
              <w:rPr>
                <w:bCs/>
              </w:rPr>
              <w:t>Not applicable</w:t>
            </w:r>
          </w:p>
        </w:tc>
      </w:tr>
      <w:tr w:rsidR="00A160B2" w14:paraId="7C35C184" w14:textId="77777777" w:rsidTr="00A360D6">
        <w:tc>
          <w:tcPr>
            <w:tcW w:w="3397"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23A58528" w14:textId="46EB7459" w:rsidR="00A160B2" w:rsidRDefault="00933709" w:rsidP="006C3150">
            <w:pPr>
              <w:pStyle w:val="Infotext"/>
            </w:pPr>
            <w:r>
              <w:t xml:space="preserve">Appendix 1 – Pension Fund Valuation at 31 </w:t>
            </w:r>
            <w:r w:rsidR="002A5BDC">
              <w:t>July</w:t>
            </w:r>
            <w:r w:rsidR="0049221F">
              <w:t xml:space="preserve"> 2021</w:t>
            </w:r>
          </w:p>
          <w:p w14:paraId="4C232B02" w14:textId="68A8B197" w:rsidR="0049221F" w:rsidRDefault="0049221F" w:rsidP="006C3150">
            <w:pPr>
              <w:pStyle w:val="Infotext"/>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3AE58E1E" w14:textId="1BFBC6E5" w:rsidR="0075166A" w:rsidRPr="008658CB" w:rsidRDefault="0075166A" w:rsidP="0075166A">
            <w:r w:rsidRPr="008658CB">
              <w:t xml:space="preserve">This </w:t>
            </w:r>
            <w:r w:rsidRPr="00A154D4">
              <w:t xml:space="preserve">report </w:t>
            </w:r>
            <w:r>
              <w:t>summarises</w:t>
            </w:r>
            <w:r w:rsidRPr="00A154D4">
              <w:t xml:space="preserve"> the matters considered by the Pension Fund Committee at </w:t>
            </w:r>
            <w:r>
              <w:t xml:space="preserve">its </w:t>
            </w:r>
            <w:r w:rsidR="004B5D7B">
              <w:t>last</w:t>
            </w:r>
            <w:r w:rsidRPr="00A154D4">
              <w:t xml:space="preserve"> meeting on </w:t>
            </w:r>
            <w:r w:rsidR="002A5BDC">
              <w:t>13 September</w:t>
            </w:r>
            <w:r>
              <w:t xml:space="preserve"> 2021</w:t>
            </w:r>
            <w:r w:rsidR="004B5D7B">
              <w:t xml:space="preserve"> </w:t>
            </w:r>
            <w:r w:rsidRPr="00A154D4">
              <w:t xml:space="preserve">and invites the Board to agree any comments </w:t>
            </w:r>
            <w:r>
              <w:t>they</w:t>
            </w:r>
            <w:r w:rsidRPr="00A154D4">
              <w:t xml:space="preserve"> might wish to make to</w:t>
            </w:r>
            <w:r>
              <w:t xml:space="preserve"> the Pension Fund Committee.</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3E883939" w:rsidR="00A160B2" w:rsidRDefault="0075166A" w:rsidP="00A160B2">
            <w:r>
              <w:t xml:space="preserve">The </w:t>
            </w:r>
            <w:r>
              <w:rPr>
                <w:rFonts w:cs="Arial"/>
                <w:szCs w:val="24"/>
              </w:rPr>
              <w:t>Board</w:t>
            </w:r>
            <w:r w:rsidRPr="0076456E">
              <w:rPr>
                <w:rFonts w:cs="Arial"/>
                <w:szCs w:val="24"/>
              </w:rPr>
              <w:t xml:space="preserve"> </w:t>
            </w:r>
            <w:r>
              <w:rPr>
                <w:rFonts w:cs="Arial"/>
                <w:szCs w:val="24"/>
              </w:rPr>
              <w:t>is requested to note the report and comment as necessary</w:t>
            </w:r>
            <w:r w:rsidR="00A360D6" w:rsidRPr="002D3381">
              <w:rPr>
                <w:szCs w:val="24"/>
              </w:rPr>
              <w:t>.</w:t>
            </w:r>
          </w:p>
        </w:tc>
      </w:tr>
    </w:tbl>
    <w:p w14:paraId="53DC7DE2" w14:textId="5676BBED" w:rsidR="002A2389" w:rsidRDefault="002A2389" w:rsidP="00A160B2">
      <w:pPr>
        <w:pStyle w:val="Heading2"/>
      </w:pPr>
      <w:r>
        <w:t>Section 2 – Report</w:t>
      </w:r>
    </w:p>
    <w:p w14:paraId="241466DD" w14:textId="77777777" w:rsidR="00346865" w:rsidRPr="00346865" w:rsidRDefault="00346865" w:rsidP="00346865"/>
    <w:p w14:paraId="02AFEE99" w14:textId="7A5B32F2" w:rsidR="0075166A" w:rsidRPr="0075166A" w:rsidRDefault="0075166A" w:rsidP="0075166A">
      <w:pPr>
        <w:numPr>
          <w:ilvl w:val="0"/>
          <w:numId w:val="16"/>
        </w:numPr>
        <w:jc w:val="both"/>
      </w:pPr>
      <w:r>
        <w:t xml:space="preserve">The list of items considered </w:t>
      </w:r>
      <w:r w:rsidRPr="0075166A">
        <w:rPr>
          <w:bCs/>
          <w:szCs w:val="24"/>
        </w:rPr>
        <w:t xml:space="preserve">by the Pension Fund Committee at its meeting on </w:t>
      </w:r>
      <w:r w:rsidR="002A5BDC">
        <w:rPr>
          <w:bCs/>
          <w:szCs w:val="24"/>
        </w:rPr>
        <w:t>13 September</w:t>
      </w:r>
      <w:r>
        <w:rPr>
          <w:bCs/>
          <w:szCs w:val="24"/>
        </w:rPr>
        <w:t xml:space="preserve"> 2021</w:t>
      </w:r>
      <w:r w:rsidRPr="0075166A">
        <w:rPr>
          <w:bCs/>
          <w:szCs w:val="24"/>
        </w:rPr>
        <w:t xml:space="preserve"> </w:t>
      </w:r>
      <w:r>
        <w:rPr>
          <w:bCs/>
          <w:szCs w:val="24"/>
        </w:rPr>
        <w:t>is</w:t>
      </w:r>
      <w:r w:rsidRPr="0075166A">
        <w:rPr>
          <w:bCs/>
          <w:szCs w:val="24"/>
        </w:rPr>
        <w:t xml:space="preserve"> summarised in the table below.</w:t>
      </w:r>
    </w:p>
    <w:p w14:paraId="32610839" w14:textId="77777777" w:rsidR="0075166A" w:rsidRDefault="0075166A" w:rsidP="0075166A">
      <w:pPr>
        <w:ind w:left="720"/>
        <w:rPr>
          <w:bCs/>
          <w:szCs w:val="24"/>
        </w:rPr>
      </w:pPr>
    </w:p>
    <w:p w14:paraId="4F8545BB" w14:textId="77777777" w:rsidR="0075166A" w:rsidRDefault="0075166A" w:rsidP="0075166A">
      <w:pPr>
        <w:ind w:left="720"/>
        <w:rPr>
          <w:bCs/>
          <w:szCs w:val="24"/>
        </w:rPr>
      </w:pPr>
    </w:p>
    <w:tbl>
      <w:tblPr>
        <w:tblStyle w:val="TableGrid"/>
        <w:tblW w:w="0" w:type="auto"/>
        <w:tblInd w:w="720" w:type="dxa"/>
        <w:tblLook w:val="04A0" w:firstRow="1" w:lastRow="0" w:firstColumn="1" w:lastColumn="0" w:noHBand="0" w:noVBand="1"/>
      </w:tblPr>
      <w:tblGrid>
        <w:gridCol w:w="2961"/>
        <w:gridCol w:w="4618"/>
      </w:tblGrid>
      <w:tr w:rsidR="0075166A" w14:paraId="41499451" w14:textId="77777777" w:rsidTr="00FC33FC">
        <w:tc>
          <w:tcPr>
            <w:tcW w:w="2961" w:type="dxa"/>
          </w:tcPr>
          <w:p w14:paraId="46D0EB4E" w14:textId="77777777" w:rsidR="0075166A" w:rsidRPr="005A6D20" w:rsidRDefault="0075166A" w:rsidP="00FC33FC">
            <w:pPr>
              <w:rPr>
                <w:b/>
                <w:szCs w:val="24"/>
              </w:rPr>
            </w:pPr>
            <w:r w:rsidRPr="005A6D20">
              <w:rPr>
                <w:b/>
                <w:szCs w:val="24"/>
              </w:rPr>
              <w:t>Report</w:t>
            </w:r>
          </w:p>
        </w:tc>
        <w:tc>
          <w:tcPr>
            <w:tcW w:w="4618" w:type="dxa"/>
          </w:tcPr>
          <w:p w14:paraId="57DFD70B" w14:textId="77777777" w:rsidR="0075166A" w:rsidRPr="005A6D20" w:rsidRDefault="0075166A" w:rsidP="00FC33FC">
            <w:pPr>
              <w:rPr>
                <w:b/>
                <w:szCs w:val="24"/>
              </w:rPr>
            </w:pPr>
            <w:r w:rsidRPr="005A6D20">
              <w:rPr>
                <w:b/>
                <w:szCs w:val="24"/>
              </w:rPr>
              <w:t>Comments</w:t>
            </w:r>
          </w:p>
        </w:tc>
      </w:tr>
      <w:tr w:rsidR="0075166A" w14:paraId="25073024" w14:textId="77777777" w:rsidTr="00FC33FC">
        <w:tc>
          <w:tcPr>
            <w:tcW w:w="2961" w:type="dxa"/>
          </w:tcPr>
          <w:p w14:paraId="3ECBC0AA" w14:textId="77777777" w:rsidR="0075166A" w:rsidRPr="002E7D60" w:rsidRDefault="0075166A" w:rsidP="00FC33FC">
            <w:pPr>
              <w:rPr>
                <w:b/>
                <w:szCs w:val="24"/>
              </w:rPr>
            </w:pPr>
            <w:r w:rsidRPr="002E7D60">
              <w:rPr>
                <w:b/>
                <w:szCs w:val="24"/>
              </w:rPr>
              <w:t>Part I</w:t>
            </w:r>
          </w:p>
        </w:tc>
        <w:tc>
          <w:tcPr>
            <w:tcW w:w="4618" w:type="dxa"/>
          </w:tcPr>
          <w:p w14:paraId="29AB2069" w14:textId="77777777" w:rsidR="0075166A" w:rsidRDefault="0075166A" w:rsidP="00FC33FC">
            <w:pPr>
              <w:rPr>
                <w:bCs/>
                <w:szCs w:val="24"/>
              </w:rPr>
            </w:pPr>
          </w:p>
        </w:tc>
      </w:tr>
      <w:tr w:rsidR="0075166A" w14:paraId="1A6E26A7" w14:textId="77777777" w:rsidTr="00481F2C">
        <w:tc>
          <w:tcPr>
            <w:tcW w:w="2961" w:type="dxa"/>
          </w:tcPr>
          <w:p w14:paraId="1FCEA04F" w14:textId="303C6ACC" w:rsidR="0075166A" w:rsidRDefault="002A5BDC" w:rsidP="00FC33FC">
            <w:pPr>
              <w:rPr>
                <w:bCs/>
                <w:szCs w:val="24"/>
              </w:rPr>
            </w:pPr>
            <w:r>
              <w:rPr>
                <w:bCs/>
                <w:szCs w:val="24"/>
              </w:rPr>
              <w:t>Good Governance Review Update</w:t>
            </w:r>
            <w:r w:rsidR="0075166A">
              <w:rPr>
                <w:bCs/>
                <w:szCs w:val="24"/>
              </w:rPr>
              <w:t xml:space="preserve"> </w:t>
            </w:r>
          </w:p>
        </w:tc>
        <w:tc>
          <w:tcPr>
            <w:tcW w:w="4618" w:type="dxa"/>
            <w:shd w:val="clear" w:color="auto" w:fill="auto"/>
          </w:tcPr>
          <w:p w14:paraId="5EF4731E" w14:textId="7E343F63" w:rsidR="0075166A" w:rsidRDefault="00481F2C" w:rsidP="00F1403C">
            <w:pPr>
              <w:rPr>
                <w:bCs/>
                <w:szCs w:val="24"/>
              </w:rPr>
            </w:pPr>
            <w:r>
              <w:rPr>
                <w:bCs/>
                <w:szCs w:val="24"/>
              </w:rPr>
              <w:t xml:space="preserve">Further to the training provided by Hymans Robertson at its previous meeting, the Committee approved the proposed approach to ensure the Fund is ready for the Review’s implementation. </w:t>
            </w:r>
          </w:p>
          <w:p w14:paraId="13A642FE" w14:textId="77777777" w:rsidR="00481F2C" w:rsidRDefault="00481F2C" w:rsidP="00F1403C">
            <w:pPr>
              <w:rPr>
                <w:bCs/>
                <w:szCs w:val="24"/>
              </w:rPr>
            </w:pPr>
            <w:r>
              <w:rPr>
                <w:bCs/>
                <w:szCs w:val="24"/>
              </w:rPr>
              <w:lastRenderedPageBreak/>
              <w:t xml:space="preserve">The Board will have a role in this work, and hence a report appears elsewhere on the agenda for this meeting </w:t>
            </w:r>
          </w:p>
          <w:p w14:paraId="7EF1B9B4" w14:textId="3161E54B" w:rsidR="00540AA5" w:rsidRDefault="00540AA5" w:rsidP="00F1403C">
            <w:pPr>
              <w:rPr>
                <w:bCs/>
                <w:szCs w:val="24"/>
              </w:rPr>
            </w:pPr>
          </w:p>
        </w:tc>
      </w:tr>
      <w:tr w:rsidR="0075166A" w14:paraId="2F2A8C66" w14:textId="77777777" w:rsidTr="00FC33FC">
        <w:tc>
          <w:tcPr>
            <w:tcW w:w="2961" w:type="dxa"/>
          </w:tcPr>
          <w:p w14:paraId="0ECD9CAD" w14:textId="1CAB38D8" w:rsidR="0075166A" w:rsidRDefault="002A5BDC" w:rsidP="00FC33FC">
            <w:pPr>
              <w:rPr>
                <w:bCs/>
                <w:szCs w:val="24"/>
              </w:rPr>
            </w:pPr>
            <w:r>
              <w:rPr>
                <w:bCs/>
                <w:szCs w:val="24"/>
              </w:rPr>
              <w:lastRenderedPageBreak/>
              <w:t>Draft Pension Fund Annual report for 2020-21</w:t>
            </w:r>
            <w:r w:rsidR="00F1403C">
              <w:rPr>
                <w:bCs/>
                <w:szCs w:val="24"/>
              </w:rPr>
              <w:t xml:space="preserve"> </w:t>
            </w:r>
          </w:p>
          <w:p w14:paraId="010061AF" w14:textId="77777777" w:rsidR="0075166A" w:rsidRDefault="0075166A" w:rsidP="00FC33FC">
            <w:pPr>
              <w:rPr>
                <w:bCs/>
                <w:szCs w:val="24"/>
              </w:rPr>
            </w:pPr>
          </w:p>
        </w:tc>
        <w:tc>
          <w:tcPr>
            <w:tcW w:w="4618" w:type="dxa"/>
          </w:tcPr>
          <w:p w14:paraId="4F441A2C" w14:textId="3F65902D" w:rsidR="0075166A" w:rsidRDefault="002A5BDC" w:rsidP="00FC33FC">
            <w:pPr>
              <w:rPr>
                <w:bCs/>
                <w:szCs w:val="24"/>
              </w:rPr>
            </w:pPr>
            <w:r>
              <w:rPr>
                <w:bCs/>
                <w:szCs w:val="24"/>
              </w:rPr>
              <w:t xml:space="preserve">The Committee </w:t>
            </w:r>
            <w:r w:rsidR="00D365CC">
              <w:rPr>
                <w:bCs/>
                <w:szCs w:val="24"/>
              </w:rPr>
              <w:t xml:space="preserve">suggested a small number of changes, </w:t>
            </w:r>
            <w:r>
              <w:rPr>
                <w:bCs/>
                <w:szCs w:val="24"/>
              </w:rPr>
              <w:t>approved the draft report for publication and authorised the Director of Finance &amp; Assurance to make any changes arising from the audit before doing so.</w:t>
            </w:r>
          </w:p>
          <w:p w14:paraId="02ACD6F1" w14:textId="77777777" w:rsidR="002A5BDC" w:rsidRDefault="002A5BDC" w:rsidP="002A5BDC">
            <w:pPr>
              <w:rPr>
                <w:bCs/>
                <w:szCs w:val="24"/>
              </w:rPr>
            </w:pPr>
            <w:r>
              <w:rPr>
                <w:bCs/>
                <w:szCs w:val="24"/>
              </w:rPr>
              <w:t>The report appears elsewhere on the agenda for this meeting.</w:t>
            </w:r>
          </w:p>
          <w:p w14:paraId="6EF103C5" w14:textId="1DCCA78A" w:rsidR="002A5BDC" w:rsidRDefault="002A5BDC" w:rsidP="002A5BDC">
            <w:pPr>
              <w:rPr>
                <w:bCs/>
                <w:szCs w:val="24"/>
              </w:rPr>
            </w:pPr>
          </w:p>
        </w:tc>
      </w:tr>
      <w:tr w:rsidR="0075166A" w14:paraId="3418CA18" w14:textId="77777777" w:rsidTr="00FC33FC">
        <w:tc>
          <w:tcPr>
            <w:tcW w:w="2961" w:type="dxa"/>
          </w:tcPr>
          <w:p w14:paraId="0E58EF9D" w14:textId="62D16405" w:rsidR="0075166A" w:rsidRDefault="002A5BDC" w:rsidP="00FC33FC">
            <w:pPr>
              <w:rPr>
                <w:bCs/>
                <w:szCs w:val="24"/>
              </w:rPr>
            </w:pPr>
            <w:r>
              <w:rPr>
                <w:bCs/>
                <w:szCs w:val="24"/>
              </w:rPr>
              <w:t>Review of Investment Strategy Statement</w:t>
            </w:r>
          </w:p>
        </w:tc>
        <w:tc>
          <w:tcPr>
            <w:tcW w:w="4618" w:type="dxa"/>
          </w:tcPr>
          <w:p w14:paraId="62E7BB8C" w14:textId="2936E00B" w:rsidR="002A5BDC" w:rsidRDefault="002A5BDC" w:rsidP="004B5D7B">
            <w:pPr>
              <w:rPr>
                <w:bCs/>
                <w:szCs w:val="24"/>
              </w:rPr>
            </w:pPr>
            <w:r>
              <w:rPr>
                <w:bCs/>
                <w:szCs w:val="24"/>
              </w:rPr>
              <w:t>Following the decisions taken during the review of the Fund’s Investment Strategy, t</w:t>
            </w:r>
            <w:r w:rsidR="004B5D7B">
              <w:rPr>
                <w:bCs/>
                <w:szCs w:val="24"/>
              </w:rPr>
              <w:t xml:space="preserve">he Committee </w:t>
            </w:r>
            <w:r>
              <w:rPr>
                <w:bCs/>
                <w:szCs w:val="24"/>
              </w:rPr>
              <w:t xml:space="preserve">considered and </w:t>
            </w:r>
            <w:r w:rsidR="004B5D7B">
              <w:rPr>
                <w:bCs/>
                <w:szCs w:val="24"/>
              </w:rPr>
              <w:t xml:space="preserve">approved </w:t>
            </w:r>
            <w:r>
              <w:rPr>
                <w:bCs/>
                <w:szCs w:val="24"/>
              </w:rPr>
              <w:t xml:space="preserve">a revised Investment </w:t>
            </w:r>
            <w:r w:rsidR="00D365CC">
              <w:rPr>
                <w:bCs/>
                <w:szCs w:val="24"/>
              </w:rPr>
              <w:t>S</w:t>
            </w:r>
            <w:r>
              <w:rPr>
                <w:bCs/>
                <w:szCs w:val="24"/>
              </w:rPr>
              <w:t xml:space="preserve">trategy </w:t>
            </w:r>
            <w:r w:rsidR="00D365CC">
              <w:rPr>
                <w:bCs/>
                <w:szCs w:val="24"/>
              </w:rPr>
              <w:t>S</w:t>
            </w:r>
            <w:r>
              <w:rPr>
                <w:bCs/>
                <w:szCs w:val="24"/>
              </w:rPr>
              <w:t xml:space="preserve">tatement. </w:t>
            </w:r>
          </w:p>
          <w:p w14:paraId="1C67C694" w14:textId="43676429" w:rsidR="002A5BDC" w:rsidRDefault="002A5BDC" w:rsidP="004B5D7B">
            <w:pPr>
              <w:rPr>
                <w:bCs/>
                <w:szCs w:val="24"/>
              </w:rPr>
            </w:pPr>
            <w:r>
              <w:rPr>
                <w:bCs/>
                <w:szCs w:val="24"/>
              </w:rPr>
              <w:t>The report appears elsewhere on the agenda for this meeting.</w:t>
            </w:r>
          </w:p>
          <w:p w14:paraId="247EEB62" w14:textId="48717376" w:rsidR="00070F70" w:rsidRDefault="00070F70" w:rsidP="004B5D7B">
            <w:pPr>
              <w:rPr>
                <w:bCs/>
                <w:szCs w:val="24"/>
              </w:rPr>
            </w:pPr>
          </w:p>
        </w:tc>
      </w:tr>
      <w:tr w:rsidR="0075166A" w14:paraId="16044C78" w14:textId="77777777" w:rsidTr="00FC33FC">
        <w:tc>
          <w:tcPr>
            <w:tcW w:w="2961" w:type="dxa"/>
          </w:tcPr>
          <w:p w14:paraId="360DDD1A" w14:textId="77777777" w:rsidR="0075166A" w:rsidRDefault="0075166A" w:rsidP="00FC33FC">
            <w:pPr>
              <w:rPr>
                <w:bCs/>
                <w:szCs w:val="24"/>
              </w:rPr>
            </w:pPr>
            <w:r>
              <w:t>Performance Dashboard and Update on Regular items</w:t>
            </w:r>
          </w:p>
        </w:tc>
        <w:tc>
          <w:tcPr>
            <w:tcW w:w="4618" w:type="dxa"/>
          </w:tcPr>
          <w:p w14:paraId="79AA2BAF" w14:textId="653C3AA9" w:rsidR="0075166A" w:rsidRDefault="004B5D7B" w:rsidP="00FC33FC">
            <w:pPr>
              <w:rPr>
                <w:bCs/>
                <w:szCs w:val="24"/>
              </w:rPr>
            </w:pPr>
            <w:r>
              <w:rPr>
                <w:bCs/>
                <w:szCs w:val="24"/>
              </w:rPr>
              <w:t>The Committee considered the</w:t>
            </w:r>
            <w:r w:rsidR="0075166A">
              <w:rPr>
                <w:bCs/>
                <w:szCs w:val="24"/>
              </w:rPr>
              <w:t xml:space="preserve"> report</w:t>
            </w:r>
            <w:r>
              <w:rPr>
                <w:bCs/>
                <w:szCs w:val="24"/>
              </w:rPr>
              <w:t xml:space="preserve">, which </w:t>
            </w:r>
            <w:r w:rsidR="0075166A">
              <w:rPr>
                <w:bCs/>
                <w:szCs w:val="24"/>
              </w:rPr>
              <w:t>summarise</w:t>
            </w:r>
            <w:r>
              <w:rPr>
                <w:bCs/>
                <w:szCs w:val="24"/>
              </w:rPr>
              <w:t>d</w:t>
            </w:r>
            <w:r w:rsidR="0075166A">
              <w:rPr>
                <w:bCs/>
                <w:szCs w:val="24"/>
              </w:rPr>
              <w:t xml:space="preserve"> the position of the Fund at </w:t>
            </w:r>
            <w:r w:rsidR="00F1403C">
              <w:rPr>
                <w:bCs/>
                <w:szCs w:val="24"/>
              </w:rPr>
              <w:t>the end of Q</w:t>
            </w:r>
            <w:r w:rsidR="002A5BDC">
              <w:rPr>
                <w:bCs/>
                <w:szCs w:val="24"/>
              </w:rPr>
              <w:t>2</w:t>
            </w:r>
            <w:r w:rsidR="00F1403C">
              <w:rPr>
                <w:bCs/>
                <w:szCs w:val="24"/>
              </w:rPr>
              <w:t xml:space="preserve"> 202</w:t>
            </w:r>
            <w:r w:rsidR="002A5BDC">
              <w:rPr>
                <w:bCs/>
                <w:szCs w:val="24"/>
              </w:rPr>
              <w:t>1</w:t>
            </w:r>
            <w:r w:rsidR="00F1403C">
              <w:rPr>
                <w:bCs/>
                <w:szCs w:val="24"/>
              </w:rPr>
              <w:t xml:space="preserve"> (</w:t>
            </w:r>
            <w:r w:rsidR="002A5BDC">
              <w:rPr>
                <w:bCs/>
                <w:szCs w:val="24"/>
              </w:rPr>
              <w:t>30 June 2021</w:t>
            </w:r>
            <w:r w:rsidR="00F1403C">
              <w:rPr>
                <w:bCs/>
                <w:szCs w:val="24"/>
              </w:rPr>
              <w:t xml:space="preserve">) </w:t>
            </w:r>
            <w:r w:rsidR="0075166A">
              <w:rPr>
                <w:bCs/>
                <w:szCs w:val="24"/>
              </w:rPr>
              <w:t xml:space="preserve">and </w:t>
            </w:r>
            <w:r>
              <w:rPr>
                <w:bCs/>
                <w:szCs w:val="24"/>
              </w:rPr>
              <w:t xml:space="preserve">agreed a draft </w:t>
            </w:r>
            <w:r w:rsidR="0075166A">
              <w:rPr>
                <w:bCs/>
                <w:szCs w:val="24"/>
              </w:rPr>
              <w:t xml:space="preserve">work programme for the Committee for the </w:t>
            </w:r>
            <w:r w:rsidR="002A5BDC">
              <w:rPr>
                <w:bCs/>
                <w:szCs w:val="24"/>
              </w:rPr>
              <w:t xml:space="preserve">remainder of the </w:t>
            </w:r>
            <w:r w:rsidR="0075166A">
              <w:rPr>
                <w:bCs/>
                <w:szCs w:val="24"/>
              </w:rPr>
              <w:t>202</w:t>
            </w:r>
            <w:r w:rsidR="00F1403C">
              <w:rPr>
                <w:bCs/>
                <w:szCs w:val="24"/>
              </w:rPr>
              <w:t>1-22 municipal year</w:t>
            </w:r>
            <w:r w:rsidR="00D365CC">
              <w:rPr>
                <w:bCs/>
                <w:szCs w:val="24"/>
              </w:rPr>
              <w:t>, including a “Manager day” on 2</w:t>
            </w:r>
            <w:r w:rsidR="00D365CC" w:rsidRPr="00D365CC">
              <w:rPr>
                <w:bCs/>
                <w:szCs w:val="24"/>
                <w:vertAlign w:val="superscript"/>
              </w:rPr>
              <w:t>nd</w:t>
            </w:r>
            <w:r w:rsidR="00D365CC">
              <w:rPr>
                <w:bCs/>
                <w:szCs w:val="24"/>
              </w:rPr>
              <w:t xml:space="preserve"> November 2021.</w:t>
            </w:r>
            <w:r w:rsidR="0075166A">
              <w:rPr>
                <w:bCs/>
                <w:szCs w:val="24"/>
              </w:rPr>
              <w:t xml:space="preserve"> </w:t>
            </w:r>
          </w:p>
          <w:p w14:paraId="072448AA" w14:textId="77777777" w:rsidR="0075166A" w:rsidRDefault="0075166A" w:rsidP="004B5D7B">
            <w:pPr>
              <w:rPr>
                <w:bCs/>
                <w:szCs w:val="24"/>
              </w:rPr>
            </w:pPr>
          </w:p>
        </w:tc>
      </w:tr>
      <w:tr w:rsidR="001F6722" w14:paraId="6250D94D" w14:textId="77777777" w:rsidTr="00D365CC">
        <w:tc>
          <w:tcPr>
            <w:tcW w:w="2961" w:type="dxa"/>
          </w:tcPr>
          <w:p w14:paraId="7553BE51" w14:textId="484E1CFB" w:rsidR="001F6722" w:rsidRDefault="002A5BDC" w:rsidP="00FC33FC">
            <w:r>
              <w:t xml:space="preserve">Environmental, Social and Governance (ESG) Reporting </w:t>
            </w:r>
          </w:p>
        </w:tc>
        <w:tc>
          <w:tcPr>
            <w:tcW w:w="4618" w:type="dxa"/>
            <w:shd w:val="clear" w:color="auto" w:fill="auto"/>
          </w:tcPr>
          <w:p w14:paraId="114679F3" w14:textId="77777777" w:rsidR="0059168C" w:rsidRDefault="0059168C" w:rsidP="00FC33FC">
            <w:pPr>
              <w:rPr>
                <w:bCs/>
                <w:szCs w:val="24"/>
              </w:rPr>
            </w:pPr>
            <w:r>
              <w:rPr>
                <w:bCs/>
                <w:szCs w:val="24"/>
              </w:rPr>
              <w:t xml:space="preserve">Following discussions at its previous meeting, the Committee considered a report on how reporting of these issues could be further developed, together with some examples of what is currently available from some managers. </w:t>
            </w:r>
          </w:p>
          <w:p w14:paraId="3CC2C4B5" w14:textId="75C8BF5A" w:rsidR="001F6722" w:rsidRDefault="00D365CC" w:rsidP="00FC33FC">
            <w:pPr>
              <w:rPr>
                <w:bCs/>
                <w:szCs w:val="24"/>
              </w:rPr>
            </w:pPr>
            <w:r>
              <w:rPr>
                <w:bCs/>
                <w:szCs w:val="24"/>
              </w:rPr>
              <w:t xml:space="preserve">After a detailed discussion, the Committee requested officers to work with Aon to produce a further report </w:t>
            </w:r>
            <w:r w:rsidR="00540AA5">
              <w:rPr>
                <w:bCs/>
                <w:szCs w:val="24"/>
              </w:rPr>
              <w:t xml:space="preserve">for its next meeting </w:t>
            </w:r>
            <w:r>
              <w:rPr>
                <w:bCs/>
                <w:szCs w:val="24"/>
              </w:rPr>
              <w:t xml:space="preserve">setting out how the Fund could improve its understanding and reporting in this important area. </w:t>
            </w:r>
          </w:p>
          <w:p w14:paraId="28B9286E" w14:textId="6754D6D6" w:rsidR="00540AA5" w:rsidRDefault="00540AA5" w:rsidP="00FC33FC">
            <w:pPr>
              <w:rPr>
                <w:bCs/>
                <w:szCs w:val="24"/>
              </w:rPr>
            </w:pPr>
          </w:p>
        </w:tc>
      </w:tr>
      <w:tr w:rsidR="002A5BDC" w14:paraId="56F63A55" w14:textId="77777777" w:rsidTr="00FC33FC">
        <w:tc>
          <w:tcPr>
            <w:tcW w:w="2961" w:type="dxa"/>
          </w:tcPr>
          <w:p w14:paraId="469C1318" w14:textId="77777777" w:rsidR="002A5BDC" w:rsidRDefault="002A5BDC" w:rsidP="002A5BDC">
            <w:pPr>
              <w:rPr>
                <w:bCs/>
                <w:szCs w:val="24"/>
              </w:rPr>
            </w:pPr>
            <w:r>
              <w:rPr>
                <w:bCs/>
                <w:szCs w:val="24"/>
              </w:rPr>
              <w:t xml:space="preserve">Review of Internal Controls at Investment managers </w:t>
            </w:r>
          </w:p>
          <w:p w14:paraId="56FBC352" w14:textId="3292D903" w:rsidR="002A5BDC" w:rsidRDefault="002A5BDC" w:rsidP="002A5BDC"/>
        </w:tc>
        <w:tc>
          <w:tcPr>
            <w:tcW w:w="4618" w:type="dxa"/>
          </w:tcPr>
          <w:p w14:paraId="77AEEEE0" w14:textId="05A2A273" w:rsidR="002A5BDC" w:rsidRDefault="002A5BDC" w:rsidP="002A5BDC">
            <w:pPr>
              <w:rPr>
                <w:bCs/>
                <w:szCs w:val="24"/>
              </w:rPr>
            </w:pPr>
            <w:r>
              <w:rPr>
                <w:bCs/>
                <w:szCs w:val="24"/>
              </w:rPr>
              <w:t xml:space="preserve">The Committee </w:t>
            </w:r>
            <w:r w:rsidR="0064241B">
              <w:rPr>
                <w:bCs/>
                <w:szCs w:val="24"/>
              </w:rPr>
              <w:t xml:space="preserve">considered a number of these reports which had not been available at the time of the previous meeting, and noted that in each case, controls were operating </w:t>
            </w:r>
            <w:r w:rsidR="00346865">
              <w:rPr>
                <w:bCs/>
                <w:szCs w:val="24"/>
              </w:rPr>
              <w:t>satisfactorily,</w:t>
            </w:r>
            <w:r w:rsidR="0064241B">
              <w:rPr>
                <w:bCs/>
                <w:szCs w:val="24"/>
              </w:rPr>
              <w:t xml:space="preserve"> and that appropriate management action had been taken where exceptions had been identified.</w:t>
            </w:r>
          </w:p>
          <w:p w14:paraId="13810053" w14:textId="6F85B649" w:rsidR="00D365CC" w:rsidRDefault="00D365CC" w:rsidP="002A5BDC">
            <w:pPr>
              <w:rPr>
                <w:bCs/>
                <w:szCs w:val="24"/>
              </w:rPr>
            </w:pPr>
          </w:p>
        </w:tc>
      </w:tr>
      <w:tr w:rsidR="002A5BDC" w14:paraId="356D1E0D" w14:textId="77777777" w:rsidTr="00FC33FC">
        <w:tc>
          <w:tcPr>
            <w:tcW w:w="2961" w:type="dxa"/>
          </w:tcPr>
          <w:p w14:paraId="3DF65F9A" w14:textId="77777777" w:rsidR="002A5BDC" w:rsidRPr="002E7D60" w:rsidRDefault="002A5BDC" w:rsidP="002A5BDC">
            <w:pPr>
              <w:rPr>
                <w:b/>
                <w:szCs w:val="24"/>
              </w:rPr>
            </w:pPr>
            <w:r w:rsidRPr="002E7D60">
              <w:rPr>
                <w:b/>
                <w:szCs w:val="24"/>
              </w:rPr>
              <w:lastRenderedPageBreak/>
              <w:t>Part II</w:t>
            </w:r>
          </w:p>
        </w:tc>
        <w:tc>
          <w:tcPr>
            <w:tcW w:w="4618" w:type="dxa"/>
          </w:tcPr>
          <w:p w14:paraId="2FBE5FC7" w14:textId="77777777" w:rsidR="002A5BDC" w:rsidRDefault="002A5BDC" w:rsidP="002A5BDC">
            <w:pPr>
              <w:rPr>
                <w:bCs/>
                <w:szCs w:val="24"/>
              </w:rPr>
            </w:pPr>
          </w:p>
        </w:tc>
      </w:tr>
      <w:tr w:rsidR="002A5BDC" w14:paraId="6A6EA753" w14:textId="77777777" w:rsidTr="00FC33FC">
        <w:tc>
          <w:tcPr>
            <w:tcW w:w="2961" w:type="dxa"/>
          </w:tcPr>
          <w:p w14:paraId="36269A83" w14:textId="4F9B6B6C" w:rsidR="002A5BDC" w:rsidRDefault="0064241B" w:rsidP="002A5BDC">
            <w:pPr>
              <w:rPr>
                <w:bCs/>
                <w:szCs w:val="24"/>
              </w:rPr>
            </w:pPr>
            <w:r>
              <w:rPr>
                <w:bCs/>
                <w:szCs w:val="24"/>
              </w:rPr>
              <w:t>No specific items – only certain appendices from above reports were considered in part II</w:t>
            </w:r>
          </w:p>
        </w:tc>
        <w:tc>
          <w:tcPr>
            <w:tcW w:w="4618" w:type="dxa"/>
          </w:tcPr>
          <w:p w14:paraId="607ABBE4" w14:textId="77777777" w:rsidR="00D365CC" w:rsidRDefault="00D365CC" w:rsidP="002A5BDC">
            <w:pPr>
              <w:rPr>
                <w:szCs w:val="24"/>
              </w:rPr>
            </w:pPr>
          </w:p>
          <w:p w14:paraId="49DBB7E5" w14:textId="5047DA12" w:rsidR="002A5BDC" w:rsidRDefault="0064241B" w:rsidP="002A5BDC">
            <w:pPr>
              <w:rPr>
                <w:bCs/>
                <w:szCs w:val="24"/>
              </w:rPr>
            </w:pPr>
            <w:r>
              <w:rPr>
                <w:szCs w:val="24"/>
              </w:rPr>
              <w:t xml:space="preserve">Decisions / comments </w:t>
            </w:r>
            <w:r w:rsidR="00D365CC">
              <w:rPr>
                <w:szCs w:val="24"/>
              </w:rPr>
              <w:t xml:space="preserve">are </w:t>
            </w:r>
            <w:r>
              <w:rPr>
                <w:szCs w:val="24"/>
              </w:rPr>
              <w:t>reported above.</w:t>
            </w:r>
          </w:p>
          <w:p w14:paraId="2F304909" w14:textId="785401F3" w:rsidR="002A5BDC" w:rsidRDefault="002A5BDC" w:rsidP="002A5BDC">
            <w:pPr>
              <w:rPr>
                <w:bCs/>
                <w:szCs w:val="24"/>
              </w:rPr>
            </w:pPr>
          </w:p>
        </w:tc>
      </w:tr>
    </w:tbl>
    <w:p w14:paraId="383BD210" w14:textId="77777777" w:rsidR="0075166A" w:rsidRDefault="0075166A" w:rsidP="0075166A">
      <w:pPr>
        <w:ind w:left="720"/>
        <w:jc w:val="both"/>
      </w:pPr>
    </w:p>
    <w:p w14:paraId="6CFCCFC9" w14:textId="11D0CACD" w:rsidR="001F6722" w:rsidRPr="00CB4353" w:rsidRDefault="004B5D7B" w:rsidP="00CB4353">
      <w:pPr>
        <w:numPr>
          <w:ilvl w:val="0"/>
          <w:numId w:val="16"/>
        </w:numPr>
        <w:jc w:val="both"/>
        <w:rPr>
          <w:szCs w:val="24"/>
        </w:rPr>
      </w:pPr>
      <w:r w:rsidRPr="00CB4353">
        <w:rPr>
          <w:szCs w:val="24"/>
        </w:rPr>
        <w:t>A training session</w:t>
      </w:r>
      <w:r w:rsidR="00751DF2" w:rsidRPr="00CB4353">
        <w:rPr>
          <w:szCs w:val="24"/>
        </w:rPr>
        <w:t xml:space="preserve"> </w:t>
      </w:r>
      <w:r w:rsidRPr="00CB4353">
        <w:rPr>
          <w:szCs w:val="24"/>
        </w:rPr>
        <w:t>was</w:t>
      </w:r>
      <w:r w:rsidR="00751DF2" w:rsidRPr="00CB4353">
        <w:rPr>
          <w:szCs w:val="24"/>
        </w:rPr>
        <w:t xml:space="preserve"> held immediately before the Committee’s meeting</w:t>
      </w:r>
      <w:r w:rsidR="001F6722" w:rsidRPr="00CB4353">
        <w:rPr>
          <w:szCs w:val="24"/>
        </w:rPr>
        <w:t xml:space="preserve">. </w:t>
      </w:r>
      <w:r w:rsidR="0064241B" w:rsidRPr="00CB4353">
        <w:rPr>
          <w:szCs w:val="24"/>
        </w:rPr>
        <w:t xml:space="preserve">Blackrock delivered the training, in which they </w:t>
      </w:r>
      <w:r w:rsidRPr="00CB4353">
        <w:rPr>
          <w:szCs w:val="24"/>
        </w:rPr>
        <w:t>gave</w:t>
      </w:r>
      <w:r w:rsidR="001F6722" w:rsidRPr="00CB4353">
        <w:rPr>
          <w:szCs w:val="24"/>
        </w:rPr>
        <w:t xml:space="preserve"> a presentation</w:t>
      </w:r>
      <w:r w:rsidRPr="00CB4353">
        <w:rPr>
          <w:szCs w:val="24"/>
        </w:rPr>
        <w:t xml:space="preserve"> and answered questions about </w:t>
      </w:r>
      <w:r w:rsidR="001F6722" w:rsidRPr="00CB4353">
        <w:rPr>
          <w:szCs w:val="24"/>
        </w:rPr>
        <w:t xml:space="preserve">the </w:t>
      </w:r>
      <w:r w:rsidR="0064241B" w:rsidRPr="00CB4353">
        <w:rPr>
          <w:szCs w:val="24"/>
        </w:rPr>
        <w:t xml:space="preserve">recent changes in the Fund’s passive equity portfolio </w:t>
      </w:r>
      <w:r w:rsidR="00481F2C">
        <w:rPr>
          <w:szCs w:val="24"/>
        </w:rPr>
        <w:t>(the move</w:t>
      </w:r>
      <w:r w:rsidR="0064241B" w:rsidRPr="00CB4353">
        <w:rPr>
          <w:szCs w:val="24"/>
        </w:rPr>
        <w:t xml:space="preserve"> to </w:t>
      </w:r>
      <w:r w:rsidR="00D365CC">
        <w:rPr>
          <w:szCs w:val="24"/>
        </w:rPr>
        <w:t xml:space="preserve">the </w:t>
      </w:r>
      <w:r w:rsidR="0064241B" w:rsidRPr="00CB4353">
        <w:rPr>
          <w:szCs w:val="24"/>
        </w:rPr>
        <w:t>Low Carbon</w:t>
      </w:r>
      <w:r w:rsidR="00481F2C">
        <w:rPr>
          <w:szCs w:val="24"/>
        </w:rPr>
        <w:t xml:space="preserve"> passive equity fund</w:t>
      </w:r>
      <w:r w:rsidR="00D365CC">
        <w:rPr>
          <w:szCs w:val="24"/>
        </w:rPr>
        <w:t xml:space="preserve"> which was completed in early September</w:t>
      </w:r>
      <w:r w:rsidR="00481F2C">
        <w:rPr>
          <w:szCs w:val="24"/>
        </w:rPr>
        <w:t>).</w:t>
      </w:r>
      <w:r w:rsidR="001F6722" w:rsidRPr="00CB4353">
        <w:rPr>
          <w:szCs w:val="24"/>
        </w:rPr>
        <w:t xml:space="preserve"> </w:t>
      </w:r>
    </w:p>
    <w:p w14:paraId="19085E8B" w14:textId="77777777" w:rsidR="004B5D7B" w:rsidRPr="00CB4353" w:rsidRDefault="004B5D7B" w:rsidP="00CB4353">
      <w:pPr>
        <w:pStyle w:val="ListParagraph"/>
        <w:rPr>
          <w:sz w:val="24"/>
          <w:szCs w:val="24"/>
        </w:rPr>
      </w:pPr>
    </w:p>
    <w:p w14:paraId="1CE59C45" w14:textId="36D54C39" w:rsidR="00CB4353" w:rsidRPr="00CB4353" w:rsidRDefault="001F6722" w:rsidP="00CB4353">
      <w:pPr>
        <w:numPr>
          <w:ilvl w:val="0"/>
          <w:numId w:val="16"/>
        </w:numPr>
        <w:jc w:val="both"/>
        <w:rPr>
          <w:szCs w:val="24"/>
        </w:rPr>
      </w:pPr>
      <w:r w:rsidRPr="00CB4353">
        <w:rPr>
          <w:szCs w:val="24"/>
        </w:rPr>
        <w:t>The Fund’s valuation at 3</w:t>
      </w:r>
      <w:r w:rsidR="00CB4353" w:rsidRPr="00CB4353">
        <w:rPr>
          <w:szCs w:val="24"/>
        </w:rPr>
        <w:t>0 June</w:t>
      </w:r>
      <w:r w:rsidR="0049221F" w:rsidRPr="00CB4353">
        <w:rPr>
          <w:szCs w:val="24"/>
        </w:rPr>
        <w:t xml:space="preserve"> 2021</w:t>
      </w:r>
      <w:r w:rsidRPr="00CB4353">
        <w:rPr>
          <w:szCs w:val="24"/>
        </w:rPr>
        <w:t xml:space="preserve"> was £</w:t>
      </w:r>
      <w:r w:rsidR="00CB4353" w:rsidRPr="00CB4353">
        <w:rPr>
          <w:szCs w:val="24"/>
        </w:rPr>
        <w:t>1,015m</w:t>
      </w:r>
      <w:r w:rsidRPr="00CB4353">
        <w:rPr>
          <w:szCs w:val="24"/>
        </w:rPr>
        <w:t>, as detailed in Appendix 1.</w:t>
      </w:r>
      <w:r w:rsidR="003315E4" w:rsidRPr="00CB4353">
        <w:rPr>
          <w:szCs w:val="24"/>
        </w:rPr>
        <w:t xml:space="preserve"> The investment dashboard showed that the Pension Fund’s estimated liabilities at 3</w:t>
      </w:r>
      <w:r w:rsidR="00CB4353" w:rsidRPr="00CB4353">
        <w:rPr>
          <w:szCs w:val="24"/>
        </w:rPr>
        <w:t>0 June</w:t>
      </w:r>
      <w:r w:rsidR="003315E4" w:rsidRPr="00CB4353">
        <w:rPr>
          <w:szCs w:val="24"/>
        </w:rPr>
        <w:t xml:space="preserve"> 2021 were £</w:t>
      </w:r>
      <w:r w:rsidR="00CB4353" w:rsidRPr="00CB4353">
        <w:rPr>
          <w:szCs w:val="24"/>
        </w:rPr>
        <w:t>964m</w:t>
      </w:r>
      <w:r w:rsidR="003315E4" w:rsidRPr="00CB4353">
        <w:rPr>
          <w:szCs w:val="24"/>
        </w:rPr>
        <w:t xml:space="preserve">, meaning that the Investment Funding Level was 105%. This estimate of liabilities is a rolled forward projection based on the 2019 actuarial valuation, the results of which were reported to the </w:t>
      </w:r>
      <w:r w:rsidR="00CB4353" w:rsidRPr="00CB4353">
        <w:rPr>
          <w:szCs w:val="24"/>
        </w:rPr>
        <w:t xml:space="preserve">Pension Fund </w:t>
      </w:r>
      <w:r w:rsidR="003315E4" w:rsidRPr="00CB4353">
        <w:rPr>
          <w:szCs w:val="24"/>
        </w:rPr>
        <w:t xml:space="preserve">Committee in December 2019. </w:t>
      </w:r>
    </w:p>
    <w:p w14:paraId="2FA8CB39" w14:textId="77777777" w:rsidR="00CB4353" w:rsidRPr="00CB4353" w:rsidRDefault="00CB4353" w:rsidP="00CB4353">
      <w:pPr>
        <w:pStyle w:val="ListParagraph"/>
        <w:rPr>
          <w:sz w:val="24"/>
          <w:szCs w:val="24"/>
        </w:rPr>
      </w:pPr>
    </w:p>
    <w:p w14:paraId="79EE1E44" w14:textId="2A7B3971" w:rsidR="003315E4" w:rsidRPr="00CB4353" w:rsidRDefault="003315E4" w:rsidP="00CB4353">
      <w:pPr>
        <w:numPr>
          <w:ilvl w:val="0"/>
          <w:numId w:val="16"/>
        </w:numPr>
        <w:jc w:val="both"/>
        <w:rPr>
          <w:szCs w:val="24"/>
        </w:rPr>
      </w:pPr>
      <w:r w:rsidRPr="00CB4353">
        <w:rPr>
          <w:szCs w:val="24"/>
        </w:rPr>
        <w:t xml:space="preserve">The </w:t>
      </w:r>
      <w:r w:rsidR="00CB4353" w:rsidRPr="00CB4353">
        <w:rPr>
          <w:szCs w:val="24"/>
        </w:rPr>
        <w:t>estimated funding level has improved since the triennial valuation, despite the increase in the value of the Fund’s liabilities (which is partly linked to the forecast yields on investments), because returns on investments have exceeded expectations in that period. The improvement in the most recent quarter is due to the increase in value of investments during that period</w:t>
      </w:r>
      <w:r w:rsidRPr="00CB4353">
        <w:rPr>
          <w:szCs w:val="24"/>
        </w:rPr>
        <w:t>.</w:t>
      </w:r>
    </w:p>
    <w:p w14:paraId="01AA069F" w14:textId="77777777" w:rsidR="00CB4353" w:rsidRPr="00CB4353" w:rsidRDefault="00CB4353" w:rsidP="00CB4353">
      <w:pPr>
        <w:pStyle w:val="ListParagraph"/>
        <w:rPr>
          <w:sz w:val="24"/>
          <w:szCs w:val="24"/>
        </w:rPr>
      </w:pPr>
    </w:p>
    <w:p w14:paraId="13FA3AAF" w14:textId="5D808F57" w:rsidR="00CB4353" w:rsidRPr="00CB4353" w:rsidRDefault="00CB4353" w:rsidP="00CB4353">
      <w:pPr>
        <w:numPr>
          <w:ilvl w:val="0"/>
          <w:numId w:val="16"/>
        </w:numPr>
        <w:jc w:val="both"/>
        <w:rPr>
          <w:szCs w:val="24"/>
        </w:rPr>
      </w:pPr>
      <w:r w:rsidRPr="00CB4353">
        <w:rPr>
          <w:szCs w:val="24"/>
        </w:rPr>
        <w:t xml:space="preserve">However, it should be noted that the 105% funding level relates only to “past service” benefits (i.e. service accrued to date). The Fund will also have to meet liabilities in respect of future service, which will in turn depend on pay levels and other factors. However, taking into account the changes in the forecast growth in liabilities (linked to inflation and pay settlements), and the forecast future return on investments, the probability of the Fund being 100% funded at the end of the agreed deficit recovery period has increased, and the investment return required to achieve this outcome has fallen, both of which are “good news”. </w:t>
      </w:r>
    </w:p>
    <w:p w14:paraId="35BDB294" w14:textId="77777777" w:rsidR="001F6722" w:rsidRPr="00CB4353" w:rsidRDefault="001F6722" w:rsidP="00CB4353">
      <w:pPr>
        <w:pStyle w:val="ListParagraph"/>
        <w:rPr>
          <w:sz w:val="24"/>
          <w:szCs w:val="24"/>
        </w:rPr>
      </w:pPr>
    </w:p>
    <w:p w14:paraId="47BFB0B9" w14:textId="19BB651F" w:rsidR="003315E4" w:rsidRPr="00D40976" w:rsidRDefault="003315E4" w:rsidP="007E70E3">
      <w:pPr>
        <w:numPr>
          <w:ilvl w:val="0"/>
          <w:numId w:val="16"/>
        </w:numPr>
        <w:jc w:val="both"/>
        <w:rPr>
          <w:szCs w:val="24"/>
        </w:rPr>
      </w:pPr>
      <w:r w:rsidRPr="00D40976">
        <w:rPr>
          <w:szCs w:val="24"/>
        </w:rPr>
        <w:t>The Fund’s valuation at 3</w:t>
      </w:r>
      <w:r w:rsidR="00CB4353" w:rsidRPr="00D40976">
        <w:rPr>
          <w:szCs w:val="24"/>
        </w:rPr>
        <w:t xml:space="preserve">1 July </w:t>
      </w:r>
      <w:r w:rsidRPr="00D40976">
        <w:rPr>
          <w:szCs w:val="24"/>
        </w:rPr>
        <w:t xml:space="preserve">2021 is </w:t>
      </w:r>
      <w:r w:rsidR="00CB4353" w:rsidRPr="00D40976">
        <w:rPr>
          <w:szCs w:val="24"/>
        </w:rPr>
        <w:t xml:space="preserve">also </w:t>
      </w:r>
      <w:r w:rsidRPr="00D40976">
        <w:rPr>
          <w:szCs w:val="24"/>
        </w:rPr>
        <w:t xml:space="preserve">shown at appendix </w:t>
      </w:r>
      <w:r w:rsidR="00CB4353" w:rsidRPr="00D40976">
        <w:rPr>
          <w:szCs w:val="24"/>
        </w:rPr>
        <w:t>1</w:t>
      </w:r>
      <w:r w:rsidRPr="00D40976">
        <w:rPr>
          <w:szCs w:val="24"/>
        </w:rPr>
        <w:t xml:space="preserve"> – it </w:t>
      </w:r>
      <w:r w:rsidR="00251F95" w:rsidRPr="00D40976">
        <w:rPr>
          <w:szCs w:val="24"/>
        </w:rPr>
        <w:t>ha</w:t>
      </w:r>
      <w:r w:rsidR="00CB4353" w:rsidRPr="00D40976">
        <w:rPr>
          <w:szCs w:val="24"/>
        </w:rPr>
        <w:t>d</w:t>
      </w:r>
      <w:r w:rsidR="00251F95" w:rsidRPr="00D40976">
        <w:rPr>
          <w:szCs w:val="24"/>
        </w:rPr>
        <w:t xml:space="preserve"> </w:t>
      </w:r>
      <w:r w:rsidRPr="00D40976">
        <w:rPr>
          <w:szCs w:val="24"/>
        </w:rPr>
        <w:t>increased further to £</w:t>
      </w:r>
      <w:r w:rsidR="00CB4353" w:rsidRPr="00D40976">
        <w:rPr>
          <w:szCs w:val="24"/>
        </w:rPr>
        <w:t>1,022.6</w:t>
      </w:r>
      <w:r w:rsidRPr="00D40976">
        <w:rPr>
          <w:szCs w:val="24"/>
        </w:rPr>
        <w:t>m. During A</w:t>
      </w:r>
      <w:r w:rsidR="00D40976" w:rsidRPr="00D40976">
        <w:rPr>
          <w:szCs w:val="24"/>
        </w:rPr>
        <w:t xml:space="preserve">ugust and September, further investments totalling £1.8m were made </w:t>
      </w:r>
      <w:r w:rsidR="00D40976">
        <w:rPr>
          <w:szCs w:val="24"/>
        </w:rPr>
        <w:t>against the Fund’s commitment to the</w:t>
      </w:r>
      <w:r w:rsidR="00D40976" w:rsidRPr="00D40976">
        <w:rPr>
          <w:szCs w:val="24"/>
        </w:rPr>
        <w:t xml:space="preserve"> LCIV Infrastructure Fund, and the changes in the passive equity portfolio (to the Blackrock Low Carbon Fund were completed. </w:t>
      </w:r>
      <w:r w:rsidR="0059168C">
        <w:rPr>
          <w:szCs w:val="24"/>
        </w:rPr>
        <w:t xml:space="preserve">At the time of writing this report the changes in the fixed income portfolio are nearing completion. </w:t>
      </w:r>
    </w:p>
    <w:p w14:paraId="03D66B6A" w14:textId="77777777" w:rsidR="00933709" w:rsidRPr="00CB4353" w:rsidRDefault="00933709" w:rsidP="00CB4353">
      <w:pPr>
        <w:pStyle w:val="ListParagraph"/>
        <w:rPr>
          <w:sz w:val="24"/>
          <w:szCs w:val="24"/>
        </w:rPr>
      </w:pPr>
    </w:p>
    <w:p w14:paraId="5995218B" w14:textId="5FACE70A" w:rsidR="006B5B52" w:rsidRPr="0064241B" w:rsidRDefault="006B5B52" w:rsidP="0064241B">
      <w:pPr>
        <w:numPr>
          <w:ilvl w:val="0"/>
          <w:numId w:val="16"/>
        </w:numPr>
        <w:jc w:val="both"/>
      </w:pPr>
      <w:r w:rsidRPr="00CB4353">
        <w:rPr>
          <w:szCs w:val="24"/>
        </w:rPr>
        <w:t xml:space="preserve">For Board members’ information, the dates set for meetings of the Pension Fund Committee </w:t>
      </w:r>
      <w:r w:rsidR="003315E4" w:rsidRPr="00CB4353">
        <w:rPr>
          <w:szCs w:val="24"/>
        </w:rPr>
        <w:t>for the remainder of the</w:t>
      </w:r>
      <w:r w:rsidR="00933709" w:rsidRPr="00CB4353">
        <w:rPr>
          <w:szCs w:val="24"/>
        </w:rPr>
        <w:t xml:space="preserve"> 2021-22 municipal year </w:t>
      </w:r>
      <w:r w:rsidRPr="00CB4353">
        <w:rPr>
          <w:szCs w:val="24"/>
        </w:rPr>
        <w:t>are as</w:t>
      </w:r>
      <w:r>
        <w:t xml:space="preserve"> follows:</w:t>
      </w:r>
    </w:p>
    <w:p w14:paraId="4934B141" w14:textId="77777777" w:rsidR="006B5B52" w:rsidRPr="001C6F48" w:rsidRDefault="006B5B52" w:rsidP="006B5B52">
      <w:pPr>
        <w:pStyle w:val="ListParagraph"/>
        <w:numPr>
          <w:ilvl w:val="0"/>
          <w:numId w:val="20"/>
        </w:numPr>
        <w:rPr>
          <w:rFonts w:eastAsia="Times New Roman"/>
          <w:sz w:val="24"/>
          <w:szCs w:val="24"/>
        </w:rPr>
      </w:pPr>
      <w:r w:rsidRPr="001C6F48">
        <w:rPr>
          <w:rFonts w:eastAsia="Times New Roman"/>
          <w:sz w:val="24"/>
          <w:szCs w:val="24"/>
        </w:rPr>
        <w:t>Wednesday 24</w:t>
      </w:r>
      <w:r w:rsidRPr="001C6F48">
        <w:rPr>
          <w:rFonts w:eastAsia="Times New Roman"/>
          <w:sz w:val="24"/>
          <w:szCs w:val="24"/>
          <w:vertAlign w:val="superscript"/>
        </w:rPr>
        <w:t>th</w:t>
      </w:r>
      <w:r w:rsidRPr="001C6F48">
        <w:rPr>
          <w:rFonts w:eastAsia="Times New Roman"/>
          <w:sz w:val="24"/>
          <w:szCs w:val="24"/>
        </w:rPr>
        <w:t xml:space="preserve"> November 2021</w:t>
      </w:r>
    </w:p>
    <w:p w14:paraId="0580E9B4" w14:textId="77777777" w:rsidR="006B5B52" w:rsidRPr="006B5B52" w:rsidRDefault="006B5B52" w:rsidP="006B5B52">
      <w:pPr>
        <w:pStyle w:val="ListParagraph"/>
        <w:numPr>
          <w:ilvl w:val="0"/>
          <w:numId w:val="20"/>
        </w:numPr>
        <w:rPr>
          <w:rFonts w:eastAsia="Times New Roman"/>
          <w:sz w:val="24"/>
          <w:szCs w:val="24"/>
        </w:rPr>
      </w:pPr>
      <w:r w:rsidRPr="001C6F48">
        <w:rPr>
          <w:rFonts w:eastAsia="Times New Roman"/>
          <w:sz w:val="24"/>
          <w:szCs w:val="24"/>
        </w:rPr>
        <w:t>Wednesday 9</w:t>
      </w:r>
      <w:r w:rsidRPr="001C6F48">
        <w:rPr>
          <w:rFonts w:eastAsia="Times New Roman"/>
          <w:sz w:val="24"/>
          <w:szCs w:val="24"/>
          <w:vertAlign w:val="superscript"/>
        </w:rPr>
        <w:t>th</w:t>
      </w:r>
      <w:r w:rsidRPr="001C6F48">
        <w:rPr>
          <w:rFonts w:eastAsia="Times New Roman"/>
          <w:sz w:val="24"/>
          <w:szCs w:val="24"/>
        </w:rPr>
        <w:t xml:space="preserve"> March</w:t>
      </w:r>
      <w:r w:rsidRPr="006B5B52">
        <w:rPr>
          <w:rFonts w:eastAsia="Times New Roman"/>
          <w:sz w:val="24"/>
          <w:szCs w:val="24"/>
        </w:rPr>
        <w:t xml:space="preserve"> 2022</w:t>
      </w:r>
    </w:p>
    <w:p w14:paraId="6B009948" w14:textId="62FBE1A3" w:rsidR="006B5B52" w:rsidRDefault="006B5B52" w:rsidP="006B5B52">
      <w:pPr>
        <w:ind w:left="720"/>
        <w:jc w:val="both"/>
        <w:rPr>
          <w:szCs w:val="24"/>
        </w:rPr>
      </w:pPr>
    </w:p>
    <w:p w14:paraId="382D260B" w14:textId="623BA326" w:rsidR="006B5B52" w:rsidRDefault="00D365CC" w:rsidP="00933709">
      <w:pPr>
        <w:ind w:left="720"/>
        <w:jc w:val="both"/>
      </w:pPr>
      <w:r>
        <w:lastRenderedPageBreak/>
        <w:t>T</w:t>
      </w:r>
      <w:r w:rsidR="006B5B52">
        <w:t>hese meetings are scheduled to start at 6.30pm.  It is intended that a training session will be held</w:t>
      </w:r>
      <w:r>
        <w:t xml:space="preserve"> </w:t>
      </w:r>
      <w:r w:rsidR="006B5B52">
        <w:t>before each Pension Fund Committee meeting, beginning at beginning at 5.30pm. All Board members are welcome to attend both the training sessions and the meetings.</w:t>
      </w:r>
      <w:r w:rsidR="00933709">
        <w:t xml:space="preserve"> The meetings will continue to be held </w:t>
      </w:r>
      <w:r w:rsidR="003315E4">
        <w:t xml:space="preserve">in hybrid form, with only the voting members and some officers </w:t>
      </w:r>
      <w:r>
        <w:t xml:space="preserve">required to be </w:t>
      </w:r>
      <w:r w:rsidR="00F6771C">
        <w:t xml:space="preserve">“physically present” with others joining </w:t>
      </w:r>
      <w:r w:rsidR="00933709">
        <w:t xml:space="preserve">via Microsoft Teams until </w:t>
      </w:r>
      <w:r w:rsidR="00F6771C">
        <w:t xml:space="preserve">fully “in person” meetings </w:t>
      </w:r>
      <w:r w:rsidR="0064241B">
        <w:t>can</w:t>
      </w:r>
      <w:r w:rsidR="00F6771C">
        <w:t xml:space="preserve"> be held</w:t>
      </w:r>
      <w:r>
        <w:t xml:space="preserve"> safely.</w:t>
      </w:r>
      <w:r w:rsidR="00933709">
        <w:t xml:space="preserve"> </w:t>
      </w:r>
    </w:p>
    <w:p w14:paraId="5F6BD5FD" w14:textId="77777777" w:rsidR="006B5B52" w:rsidRDefault="006B5B52" w:rsidP="006B5B52">
      <w:pPr>
        <w:pStyle w:val="Heading2"/>
      </w:pPr>
      <w:r>
        <w:t>Legal Implications</w:t>
      </w:r>
    </w:p>
    <w:p w14:paraId="4DA3F6E4" w14:textId="77777777" w:rsidR="006B5B52" w:rsidRDefault="006B5B52" w:rsidP="006B5B52">
      <w:pPr>
        <w:ind w:left="720"/>
        <w:jc w:val="both"/>
      </w:pPr>
    </w:p>
    <w:p w14:paraId="56739B89" w14:textId="77777777" w:rsidR="006B5B52" w:rsidRDefault="006B5B52" w:rsidP="006B5B52">
      <w:pPr>
        <w:pStyle w:val="ListParagraph"/>
      </w:pPr>
    </w:p>
    <w:p w14:paraId="1AE22C2D" w14:textId="64F40262" w:rsidR="006B5B52" w:rsidRPr="00C55540" w:rsidRDefault="006B5B52" w:rsidP="000E1E98">
      <w:pPr>
        <w:numPr>
          <w:ilvl w:val="0"/>
          <w:numId w:val="16"/>
        </w:numPr>
        <w:jc w:val="both"/>
        <w:rPr>
          <w:szCs w:val="24"/>
        </w:rPr>
      </w:pPr>
      <w:r w:rsidRPr="00C55540">
        <w:rPr>
          <w:szCs w:val="24"/>
        </w:rPr>
        <w:t>There are no direct legal implications arising from this report.</w:t>
      </w:r>
    </w:p>
    <w:p w14:paraId="75BF25CE" w14:textId="77777777" w:rsidR="006B5B52" w:rsidRDefault="006B5B52" w:rsidP="006B5B52">
      <w:pPr>
        <w:pStyle w:val="Heading2"/>
        <w:spacing w:after="240"/>
      </w:pPr>
      <w:r>
        <w:t>Financial Implications</w:t>
      </w:r>
    </w:p>
    <w:p w14:paraId="4C08F992" w14:textId="0F5B26BD" w:rsidR="006B5B52" w:rsidRDefault="006B5B52" w:rsidP="006B5B52">
      <w:pPr>
        <w:ind w:left="720"/>
        <w:jc w:val="both"/>
        <w:rPr>
          <w:szCs w:val="24"/>
        </w:rPr>
      </w:pPr>
    </w:p>
    <w:p w14:paraId="42CA06A9" w14:textId="2A3E5B29" w:rsidR="006B5B52" w:rsidRPr="006B5B52" w:rsidRDefault="006B5B52" w:rsidP="00EB0AAE">
      <w:pPr>
        <w:numPr>
          <w:ilvl w:val="0"/>
          <w:numId w:val="16"/>
        </w:numPr>
        <w:jc w:val="both"/>
        <w:rPr>
          <w:szCs w:val="24"/>
          <w:lang w:val="en-US"/>
        </w:rPr>
      </w:pPr>
      <w:r w:rsidRPr="006B5B52">
        <w:rPr>
          <w:szCs w:val="24"/>
          <w:lang w:val="en-US"/>
        </w:rPr>
        <w:t>Whilst the performance and effective controls of the fund managers is of paramount importance in the performance of the Pension Fund, there are no</w:t>
      </w:r>
      <w:r w:rsidR="00F6771C">
        <w:rPr>
          <w:szCs w:val="24"/>
          <w:lang w:val="en-US"/>
        </w:rPr>
        <w:t xml:space="preserve"> direct </w:t>
      </w:r>
      <w:r w:rsidRPr="006B5B52">
        <w:rPr>
          <w:szCs w:val="24"/>
          <w:lang w:val="en-US"/>
        </w:rPr>
        <w:t>financial implications arising from this report.</w:t>
      </w:r>
    </w:p>
    <w:p w14:paraId="0568C5C0" w14:textId="77777777" w:rsidR="006B5B52" w:rsidRPr="003D2FFE" w:rsidRDefault="006B5B52" w:rsidP="006B5B52">
      <w:pPr>
        <w:pStyle w:val="Heading2"/>
        <w:spacing w:after="240"/>
      </w:pPr>
      <w:r>
        <w:t>Risk Management Implications</w:t>
      </w:r>
    </w:p>
    <w:p w14:paraId="34DCB0E4" w14:textId="117AE982" w:rsidR="006B5B52" w:rsidRDefault="006B5B52" w:rsidP="006B5B52">
      <w:pPr>
        <w:ind w:left="720"/>
        <w:jc w:val="both"/>
        <w:rPr>
          <w:szCs w:val="24"/>
          <w:lang w:val="en-US"/>
        </w:rPr>
      </w:pPr>
    </w:p>
    <w:p w14:paraId="21DD527F" w14:textId="22619EC3" w:rsidR="00F6771C" w:rsidRPr="003F5AF9" w:rsidRDefault="00F6771C" w:rsidP="00F6771C">
      <w:pPr>
        <w:numPr>
          <w:ilvl w:val="0"/>
          <w:numId w:val="16"/>
        </w:numPr>
        <w:autoSpaceDE w:val="0"/>
        <w:autoSpaceDN w:val="0"/>
        <w:adjustRightInd w:val="0"/>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64241B">
        <w:t>next review will be considered by the Board at its meeting on 1</w:t>
      </w:r>
      <w:r w:rsidR="0064241B" w:rsidRPr="0064241B">
        <w:rPr>
          <w:vertAlign w:val="superscript"/>
        </w:rPr>
        <w:t>st</w:t>
      </w:r>
      <w:r w:rsidR="0064241B">
        <w:t xml:space="preserve"> December 2021</w:t>
      </w:r>
      <w:r>
        <w:t xml:space="preserve">. </w:t>
      </w:r>
    </w:p>
    <w:p w14:paraId="42B288D6" w14:textId="77777777" w:rsidR="00F6771C" w:rsidRPr="003F5AF9" w:rsidRDefault="00F6771C" w:rsidP="00F6771C">
      <w:pPr>
        <w:autoSpaceDE w:val="0"/>
        <w:autoSpaceDN w:val="0"/>
        <w:adjustRightInd w:val="0"/>
        <w:ind w:left="426"/>
        <w:rPr>
          <w:rFonts w:cs="Arial"/>
          <w:color w:val="000000"/>
          <w:szCs w:val="24"/>
          <w:lang w:eastAsia="en-GB"/>
        </w:rPr>
      </w:pPr>
    </w:p>
    <w:p w14:paraId="0E59B0B9" w14:textId="56384425" w:rsidR="00F6771C" w:rsidRPr="00C55540" w:rsidRDefault="00F6771C" w:rsidP="00F6771C">
      <w:pPr>
        <w:numPr>
          <w:ilvl w:val="0"/>
          <w:numId w:val="16"/>
        </w:numPr>
        <w:jc w:val="both"/>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6F845081" w14:textId="32E69A0F" w:rsidR="00C55540" w:rsidRPr="00C55540" w:rsidRDefault="00C55540" w:rsidP="0036007A">
      <w:pPr>
        <w:numPr>
          <w:ilvl w:val="0"/>
          <w:numId w:val="16"/>
        </w:numPr>
        <w:jc w:val="both"/>
        <w:rPr>
          <w:szCs w:val="24"/>
        </w:rPr>
      </w:pPr>
      <w:r w:rsidRPr="00C55540">
        <w:rPr>
          <w:szCs w:val="24"/>
        </w:rPr>
        <w:t xml:space="preserve">There are no direct equalities implications arising from this report. </w:t>
      </w:r>
    </w:p>
    <w:p w14:paraId="3EEDC6F2" w14:textId="77777777" w:rsidR="00C55540" w:rsidRPr="00CD57D8" w:rsidRDefault="00C55540" w:rsidP="00C55540">
      <w:pPr>
        <w:pStyle w:val="Heading2"/>
        <w:spacing w:after="240"/>
      </w:pPr>
      <w:r>
        <w:t xml:space="preserve">Council </w:t>
      </w:r>
      <w:r w:rsidRPr="00CD57D8">
        <w:t>Priorities</w:t>
      </w:r>
    </w:p>
    <w:p w14:paraId="270E4104" w14:textId="4E565CAF" w:rsidR="00C55540" w:rsidRDefault="00C55540" w:rsidP="00C55540">
      <w:pPr>
        <w:pStyle w:val="ListParagraph"/>
        <w:numPr>
          <w:ilvl w:val="0"/>
          <w:numId w:val="16"/>
        </w:numPr>
        <w:rPr>
          <w:sz w:val="24"/>
          <w:szCs w:val="24"/>
          <w:lang w:val="en-US"/>
        </w:rPr>
      </w:pPr>
      <w:r w:rsidRPr="00A175BD">
        <w:rPr>
          <w:sz w:val="24"/>
          <w:szCs w:val="24"/>
          <w:lang w:val="en-US"/>
        </w:rPr>
        <w:t xml:space="preserve">The performance of the Pension Fund directly affects the level of employer contribution which then, in turn, affects the resources available for the Council’s priorities. </w:t>
      </w:r>
    </w:p>
    <w:p w14:paraId="11BF41CC" w14:textId="77777777" w:rsidR="002A2389" w:rsidRDefault="002A2389" w:rsidP="00912904">
      <w:pPr>
        <w:pStyle w:val="Heading2"/>
      </w:pPr>
      <w:r>
        <w:lastRenderedPageBreak/>
        <w:t>Section 3 - Statutory Officer Clearance</w:t>
      </w:r>
    </w:p>
    <w:p w14:paraId="077143F8" w14:textId="77777777" w:rsidR="002A2389" w:rsidRDefault="002A2389" w:rsidP="008D1750">
      <w:pPr>
        <w:keepNext/>
        <w:rPr>
          <w:rFonts w:cs="Arial"/>
        </w:rPr>
      </w:pPr>
    </w:p>
    <w:p w14:paraId="1F493ADE" w14:textId="6A802994" w:rsidR="00912904" w:rsidRPr="00A66326" w:rsidRDefault="00912904" w:rsidP="00912904">
      <w:pPr>
        <w:rPr>
          <w:sz w:val="28"/>
        </w:rPr>
      </w:pPr>
      <w:r w:rsidRPr="00A66326">
        <w:rPr>
          <w:b/>
          <w:sz w:val="28"/>
        </w:rPr>
        <w:t xml:space="preserve">Statutory Officer:  </w:t>
      </w:r>
      <w:r w:rsidR="00581AB1">
        <w:rPr>
          <w:b/>
          <w:sz w:val="28"/>
        </w:rPr>
        <w:t>Dawn Calvert</w:t>
      </w:r>
    </w:p>
    <w:p w14:paraId="57640BD9" w14:textId="70DD4F95" w:rsidR="00912904" w:rsidRPr="00A66326" w:rsidRDefault="00912904" w:rsidP="00912904">
      <w:r w:rsidRPr="00A66326">
        <w:t>Signed on by the Chief Financial Officer</w:t>
      </w:r>
    </w:p>
    <w:p w14:paraId="4E34EDB5" w14:textId="4B3EC44F" w:rsidR="00D365CC" w:rsidRDefault="00912904" w:rsidP="00346865">
      <w:pPr>
        <w:spacing w:after="480"/>
        <w:rPr>
          <w:b/>
          <w:sz w:val="28"/>
        </w:rPr>
      </w:pPr>
      <w:r w:rsidRPr="00A66326">
        <w:rPr>
          <w:b/>
          <w:sz w:val="28"/>
        </w:rPr>
        <w:t xml:space="preserve">Date:  </w:t>
      </w:r>
      <w:r w:rsidR="00581AB1">
        <w:rPr>
          <w:b/>
          <w:sz w:val="28"/>
        </w:rPr>
        <w:t>16/09/2021</w:t>
      </w:r>
    </w:p>
    <w:p w14:paraId="2586CC50" w14:textId="07F00128" w:rsidR="00912904" w:rsidRPr="00A66326" w:rsidRDefault="00912904" w:rsidP="00912904">
      <w:pPr>
        <w:rPr>
          <w:sz w:val="28"/>
        </w:rPr>
      </w:pPr>
      <w:r w:rsidRPr="00A66326">
        <w:rPr>
          <w:b/>
          <w:sz w:val="28"/>
        </w:rPr>
        <w:t xml:space="preserve">Statutory Officer:  </w:t>
      </w:r>
      <w:r w:rsidR="005C19FD">
        <w:rPr>
          <w:b/>
          <w:sz w:val="28"/>
        </w:rPr>
        <w:t>Sharon Clarke</w:t>
      </w:r>
    </w:p>
    <w:p w14:paraId="3F58D77A" w14:textId="16A5F915" w:rsidR="00912904" w:rsidRPr="00A66326" w:rsidRDefault="00912904" w:rsidP="00912904">
      <w:r w:rsidRPr="00A66326">
        <w:t>Signed on behalf of the Monitoring Officer</w:t>
      </w:r>
    </w:p>
    <w:p w14:paraId="61F8C7E6" w14:textId="0808F097" w:rsidR="00912904" w:rsidRPr="003313EA" w:rsidRDefault="00912904" w:rsidP="00912904">
      <w:pPr>
        <w:spacing w:after="480"/>
        <w:rPr>
          <w:sz w:val="28"/>
        </w:rPr>
      </w:pPr>
      <w:r w:rsidRPr="00A66326">
        <w:rPr>
          <w:b/>
          <w:sz w:val="28"/>
        </w:rPr>
        <w:t xml:space="preserve">Date:  </w:t>
      </w:r>
      <w:r w:rsidR="005C19FD">
        <w:rPr>
          <w:b/>
          <w:sz w:val="28"/>
        </w:rPr>
        <w:t>16/09/2021</w:t>
      </w:r>
    </w:p>
    <w:p w14:paraId="2019A53D" w14:textId="48BA6721" w:rsidR="00912904" w:rsidRPr="00A66326" w:rsidRDefault="004A4A1D" w:rsidP="00912904">
      <w:pPr>
        <w:rPr>
          <w:sz w:val="28"/>
        </w:rPr>
      </w:pPr>
      <w:r>
        <w:rPr>
          <w:b/>
          <w:sz w:val="28"/>
        </w:rPr>
        <w:t>Chief</w:t>
      </w:r>
      <w:r w:rsidR="00912904" w:rsidRPr="00A66326">
        <w:rPr>
          <w:b/>
          <w:sz w:val="28"/>
        </w:rPr>
        <w:t xml:space="preserve"> Officer:  </w:t>
      </w:r>
      <w:r w:rsidR="00581AB1">
        <w:rPr>
          <w:b/>
          <w:sz w:val="28"/>
        </w:rPr>
        <w:t>Dawn Calvert</w:t>
      </w:r>
    </w:p>
    <w:p w14:paraId="12E4D11B" w14:textId="105C993E" w:rsidR="00912904" w:rsidRPr="00A66326" w:rsidRDefault="00365D29" w:rsidP="00912904">
      <w:r>
        <w:t>Signed</w:t>
      </w:r>
      <w:r w:rsidR="00912904" w:rsidRPr="00A66326">
        <w:t xml:space="preserve"> </w:t>
      </w:r>
      <w:r w:rsidR="00581AB1">
        <w:t>on behalf of</w:t>
      </w:r>
      <w:r w:rsidR="00912904" w:rsidRPr="00A66326">
        <w:t xml:space="preserve"> the Corporate Director</w:t>
      </w:r>
    </w:p>
    <w:p w14:paraId="21482980" w14:textId="1C1565B4" w:rsidR="00912904" w:rsidRPr="00A66326" w:rsidRDefault="00912904" w:rsidP="00912904">
      <w:pPr>
        <w:spacing w:after="480"/>
        <w:rPr>
          <w:sz w:val="28"/>
        </w:rPr>
      </w:pPr>
      <w:r w:rsidRPr="00A66326">
        <w:rPr>
          <w:b/>
          <w:sz w:val="28"/>
        </w:rPr>
        <w:t xml:space="preserve">Date:  </w:t>
      </w:r>
      <w:r w:rsidR="00581AB1">
        <w:rPr>
          <w:b/>
          <w:sz w:val="28"/>
        </w:rPr>
        <w:t>16/09/2021</w:t>
      </w:r>
    </w:p>
    <w:p w14:paraId="686CE5D8" w14:textId="77777777" w:rsidR="00912904" w:rsidRPr="00435B5D" w:rsidRDefault="00912904" w:rsidP="00912904">
      <w:pPr>
        <w:pStyle w:val="Heading2"/>
        <w:spacing w:after="240"/>
      </w:pPr>
      <w:r>
        <w:t>Mandatory Checks</w:t>
      </w:r>
      <w:bookmarkStart w:id="0" w:name="_GoBack"/>
      <w:bookmarkEnd w:id="0"/>
    </w:p>
    <w:p w14:paraId="71FBC41D" w14:textId="4318C26E" w:rsidR="00912904" w:rsidRPr="00346865" w:rsidRDefault="00912904" w:rsidP="00C55540">
      <w:pPr>
        <w:pStyle w:val="Heading3"/>
        <w:ind w:left="0" w:firstLine="0"/>
        <w:rPr>
          <w:b w:val="0"/>
          <w:bCs w:val="0"/>
          <w:i/>
          <w:color w:val="FF0000"/>
          <w:szCs w:val="24"/>
        </w:rPr>
      </w:pPr>
      <w:r w:rsidRPr="00E90AFF">
        <w:rPr>
          <w:sz w:val="28"/>
        </w:rPr>
        <w:t xml:space="preserve">Ward Councillors notified:  </w:t>
      </w:r>
      <w:r w:rsidRPr="00346865">
        <w:rPr>
          <w:b w:val="0"/>
          <w:bCs w:val="0"/>
          <w:sz w:val="28"/>
        </w:rPr>
        <w:t>N</w:t>
      </w:r>
      <w:r w:rsidR="00F6771C" w:rsidRPr="00346865">
        <w:rPr>
          <w:b w:val="0"/>
          <w:bCs w:val="0"/>
          <w:sz w:val="28"/>
        </w:rPr>
        <w:t xml:space="preserve">ot </w:t>
      </w:r>
      <w:r w:rsidR="00346865">
        <w:rPr>
          <w:b w:val="0"/>
          <w:bCs w:val="0"/>
          <w:sz w:val="28"/>
        </w:rPr>
        <w:t>a</w:t>
      </w:r>
      <w:r w:rsidR="00F6771C" w:rsidRPr="00346865">
        <w:rPr>
          <w:b w:val="0"/>
          <w:bCs w:val="0"/>
          <w:sz w:val="28"/>
        </w:rPr>
        <w:t>pplicable</w:t>
      </w:r>
      <w:r w:rsidRPr="00346865">
        <w:rPr>
          <w:b w:val="0"/>
          <w:bCs w:val="0"/>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373FA8D5" w14:textId="24AB96FD"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CE039D">
        <w:rPr>
          <w:sz w:val="24"/>
          <w:szCs w:val="24"/>
        </w:rPr>
        <w:t>Manager</w:t>
      </w:r>
    </w:p>
    <w:p w14:paraId="65DB4D40" w14:textId="6E88447C" w:rsidR="00CE039D" w:rsidRPr="00CE039D" w:rsidRDefault="00C55540" w:rsidP="00C55540">
      <w:pPr>
        <w:pStyle w:val="Infotext"/>
      </w:pPr>
      <w:r w:rsidRPr="00A175BD">
        <w:rPr>
          <w:sz w:val="24"/>
          <w:szCs w:val="24"/>
        </w:rPr>
        <w:t xml:space="preserve">Email: </w:t>
      </w:r>
      <w:hyperlink r:id="rId8" w:history="1">
        <w:r w:rsidRPr="00A175BD">
          <w:rPr>
            <w:rStyle w:val="Hyperlink"/>
            <w:sz w:val="24"/>
            <w:szCs w:val="24"/>
          </w:rPr>
          <w:t>Jeremy.randall@harrow.gov.uk</w:t>
        </w:r>
      </w:hyperlink>
      <w:r w:rsidR="00346865">
        <w:rPr>
          <w:rStyle w:val="Hyperlink"/>
          <w:sz w:val="24"/>
          <w:szCs w:val="24"/>
        </w:rPr>
        <w:t xml:space="preserve">, </w:t>
      </w:r>
      <w:r w:rsidR="00CE039D">
        <w:rPr>
          <w:rStyle w:val="Hyperlink"/>
          <w:color w:val="auto"/>
          <w:sz w:val="24"/>
          <w:szCs w:val="24"/>
          <w:u w:val="none"/>
        </w:rPr>
        <w:t>Telephone: 020 8736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60AA4"/>
    <w:multiLevelType w:val="hybridMultilevel"/>
    <w:tmpl w:val="CB728E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49E31D5"/>
    <w:multiLevelType w:val="hybridMultilevel"/>
    <w:tmpl w:val="E7AAE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32052"/>
    <w:multiLevelType w:val="hybridMultilevel"/>
    <w:tmpl w:val="4C3E49F0"/>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5"/>
  </w:num>
  <w:num w:numId="9">
    <w:abstractNumId w:val="4"/>
  </w:num>
  <w:num w:numId="10">
    <w:abstractNumId w:val="17"/>
  </w:num>
  <w:num w:numId="11">
    <w:abstractNumId w:val="22"/>
  </w:num>
  <w:num w:numId="12">
    <w:abstractNumId w:val="15"/>
  </w:num>
  <w:num w:numId="13">
    <w:abstractNumId w:val="3"/>
  </w:num>
  <w:num w:numId="14">
    <w:abstractNumId w:val="6"/>
  </w:num>
  <w:num w:numId="15">
    <w:abstractNumId w:val="12"/>
  </w:num>
  <w:num w:numId="16">
    <w:abstractNumId w:val="11"/>
  </w:num>
  <w:num w:numId="17">
    <w:abstractNumId w:val="0"/>
  </w:num>
  <w:num w:numId="18">
    <w:abstractNumId w:val="8"/>
  </w:num>
  <w:num w:numId="19">
    <w:abstractNumId w:val="10"/>
  </w:num>
  <w:num w:numId="20">
    <w:abstractNumId w:val="21"/>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34EE1"/>
    <w:rsid w:val="00057F10"/>
    <w:rsid w:val="000633A2"/>
    <w:rsid w:val="00070F70"/>
    <w:rsid w:val="00071EB4"/>
    <w:rsid w:val="00077298"/>
    <w:rsid w:val="000A58A1"/>
    <w:rsid w:val="000A6659"/>
    <w:rsid w:val="000B0E6F"/>
    <w:rsid w:val="000B6DBB"/>
    <w:rsid w:val="000D2BF2"/>
    <w:rsid w:val="000D5870"/>
    <w:rsid w:val="000F65C0"/>
    <w:rsid w:val="001167DE"/>
    <w:rsid w:val="001939BA"/>
    <w:rsid w:val="001A472C"/>
    <w:rsid w:val="001A6EB0"/>
    <w:rsid w:val="001B441D"/>
    <w:rsid w:val="001C4374"/>
    <w:rsid w:val="001C5225"/>
    <w:rsid w:val="001C6F48"/>
    <w:rsid w:val="001E0219"/>
    <w:rsid w:val="001F6722"/>
    <w:rsid w:val="00213BE7"/>
    <w:rsid w:val="00231A1D"/>
    <w:rsid w:val="00244120"/>
    <w:rsid w:val="00251F95"/>
    <w:rsid w:val="00293F9F"/>
    <w:rsid w:val="002A2389"/>
    <w:rsid w:val="002A2C3A"/>
    <w:rsid w:val="002A5BDC"/>
    <w:rsid w:val="002C08E2"/>
    <w:rsid w:val="002C1794"/>
    <w:rsid w:val="002D2FC5"/>
    <w:rsid w:val="002E6637"/>
    <w:rsid w:val="002E77E3"/>
    <w:rsid w:val="003315E4"/>
    <w:rsid w:val="00332947"/>
    <w:rsid w:val="00333EB4"/>
    <w:rsid w:val="00345915"/>
    <w:rsid w:val="00346865"/>
    <w:rsid w:val="0035176F"/>
    <w:rsid w:val="00365D29"/>
    <w:rsid w:val="00374F22"/>
    <w:rsid w:val="003D2FFE"/>
    <w:rsid w:val="00400032"/>
    <w:rsid w:val="0042394B"/>
    <w:rsid w:val="00473B08"/>
    <w:rsid w:val="00474B5F"/>
    <w:rsid w:val="00481F2C"/>
    <w:rsid w:val="0049221F"/>
    <w:rsid w:val="004A3CE6"/>
    <w:rsid w:val="004A4A1D"/>
    <w:rsid w:val="004B2C9D"/>
    <w:rsid w:val="004B4A47"/>
    <w:rsid w:val="004B5D7B"/>
    <w:rsid w:val="004E667D"/>
    <w:rsid w:val="004E6AF9"/>
    <w:rsid w:val="005031DF"/>
    <w:rsid w:val="00540AA5"/>
    <w:rsid w:val="00542378"/>
    <w:rsid w:val="00567D42"/>
    <w:rsid w:val="00581AB1"/>
    <w:rsid w:val="0059168C"/>
    <w:rsid w:val="00597314"/>
    <w:rsid w:val="005A61AF"/>
    <w:rsid w:val="005C19FD"/>
    <w:rsid w:val="005D0886"/>
    <w:rsid w:val="005E384D"/>
    <w:rsid w:val="005F2181"/>
    <w:rsid w:val="005F724B"/>
    <w:rsid w:val="00625DFF"/>
    <w:rsid w:val="0063072B"/>
    <w:rsid w:val="0064241B"/>
    <w:rsid w:val="00662891"/>
    <w:rsid w:val="006628B7"/>
    <w:rsid w:val="00675FCB"/>
    <w:rsid w:val="006B3942"/>
    <w:rsid w:val="006B5B52"/>
    <w:rsid w:val="006C3914"/>
    <w:rsid w:val="006D3648"/>
    <w:rsid w:val="0074184E"/>
    <w:rsid w:val="00743829"/>
    <w:rsid w:val="0075166A"/>
    <w:rsid w:val="00751DF2"/>
    <w:rsid w:val="00755F8D"/>
    <w:rsid w:val="00796503"/>
    <w:rsid w:val="007B524B"/>
    <w:rsid w:val="007D2BDA"/>
    <w:rsid w:val="007D56C8"/>
    <w:rsid w:val="007E3934"/>
    <w:rsid w:val="007E7303"/>
    <w:rsid w:val="008212A0"/>
    <w:rsid w:val="00837F53"/>
    <w:rsid w:val="00845600"/>
    <w:rsid w:val="008D1750"/>
    <w:rsid w:val="008D7800"/>
    <w:rsid w:val="008E2910"/>
    <w:rsid w:val="008E4913"/>
    <w:rsid w:val="008E6C0C"/>
    <w:rsid w:val="00900464"/>
    <w:rsid w:val="0090100E"/>
    <w:rsid w:val="00912904"/>
    <w:rsid w:val="00933709"/>
    <w:rsid w:val="0093767E"/>
    <w:rsid w:val="00972A02"/>
    <w:rsid w:val="0099517C"/>
    <w:rsid w:val="009A0937"/>
    <w:rsid w:val="009B2ECD"/>
    <w:rsid w:val="009B7914"/>
    <w:rsid w:val="009F430B"/>
    <w:rsid w:val="00A160B2"/>
    <w:rsid w:val="00A360D6"/>
    <w:rsid w:val="00A42A08"/>
    <w:rsid w:val="00A566E7"/>
    <w:rsid w:val="00A940D3"/>
    <w:rsid w:val="00A96FCA"/>
    <w:rsid w:val="00AA4BE8"/>
    <w:rsid w:val="00AC0AAB"/>
    <w:rsid w:val="00AC7BA9"/>
    <w:rsid w:val="00AE19AC"/>
    <w:rsid w:val="00B0425E"/>
    <w:rsid w:val="00B67880"/>
    <w:rsid w:val="00B900E2"/>
    <w:rsid w:val="00B9118E"/>
    <w:rsid w:val="00BD6115"/>
    <w:rsid w:val="00BD684A"/>
    <w:rsid w:val="00BF6C03"/>
    <w:rsid w:val="00C32DAE"/>
    <w:rsid w:val="00C34564"/>
    <w:rsid w:val="00C40E24"/>
    <w:rsid w:val="00C55540"/>
    <w:rsid w:val="00C61B80"/>
    <w:rsid w:val="00C92D9A"/>
    <w:rsid w:val="00C96EF5"/>
    <w:rsid w:val="00CB4353"/>
    <w:rsid w:val="00CE039D"/>
    <w:rsid w:val="00CE4DD2"/>
    <w:rsid w:val="00D25064"/>
    <w:rsid w:val="00D32B51"/>
    <w:rsid w:val="00D34668"/>
    <w:rsid w:val="00D365CC"/>
    <w:rsid w:val="00D3740E"/>
    <w:rsid w:val="00D40335"/>
    <w:rsid w:val="00D40976"/>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F2F91"/>
    <w:rsid w:val="00F1403C"/>
    <w:rsid w:val="00F33EE3"/>
    <w:rsid w:val="00F4213B"/>
    <w:rsid w:val="00F45A59"/>
    <w:rsid w:val="00F6771C"/>
    <w:rsid w:val="00F77A86"/>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table" w:styleId="TableGrid">
    <w:name w:val="Table Grid"/>
    <w:basedOn w:val="TableNormal"/>
    <w:rsid w:val="00751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85850">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1186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7649</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Nikolova</cp:lastModifiedBy>
  <cp:revision>9</cp:revision>
  <cp:lastPrinted>2007-07-12T09:53:00Z</cp:lastPrinted>
  <dcterms:created xsi:type="dcterms:W3CDTF">2021-09-08T15:30:00Z</dcterms:created>
  <dcterms:modified xsi:type="dcterms:W3CDTF">2021-09-23T13:35:00Z</dcterms:modified>
</cp:coreProperties>
</file>